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7EF4" w:rsidRPr="00296F77" w:rsidRDefault="009F7EF4" w:rsidP="009F7EF4">
      <w:pPr>
        <w:jc w:val="center"/>
        <w:rPr>
          <w:b/>
          <w:sz w:val="20"/>
          <w:szCs w:val="20"/>
          <w:u w:val="single"/>
          <w:lang w:val="es-MX"/>
        </w:rPr>
      </w:pPr>
      <w:r w:rsidRPr="00834F1A">
        <w:rPr>
          <w:b/>
          <w:sz w:val="20"/>
          <w:szCs w:val="20"/>
          <w:u w:val="single"/>
          <w:lang w:val="es-CR"/>
        </w:rPr>
        <w:t xml:space="preserve">Caso </w:t>
      </w:r>
      <w:r w:rsidR="00D87A60">
        <w:rPr>
          <w:b/>
          <w:sz w:val="20"/>
          <w:szCs w:val="20"/>
          <w:u w:val="single"/>
        </w:rPr>
        <w:t>González</w:t>
      </w:r>
      <w:r w:rsidR="00306821">
        <w:rPr>
          <w:b/>
          <w:sz w:val="20"/>
          <w:szCs w:val="20"/>
          <w:u w:val="single"/>
        </w:rPr>
        <w:t xml:space="preserve"> y otros</w:t>
      </w:r>
      <w:r w:rsidR="00CF7246" w:rsidRPr="00B32A37">
        <w:rPr>
          <w:b/>
          <w:i/>
          <w:sz w:val="20"/>
          <w:szCs w:val="20"/>
          <w:u w:val="single"/>
          <w:lang w:val="es-CR"/>
        </w:rPr>
        <w:t xml:space="preserve"> </w:t>
      </w:r>
      <w:r w:rsidRPr="00B32A37">
        <w:rPr>
          <w:b/>
          <w:i/>
          <w:sz w:val="20"/>
          <w:szCs w:val="20"/>
          <w:u w:val="single"/>
          <w:lang w:val="es-CR"/>
        </w:rPr>
        <w:t xml:space="preserve">Vs. </w:t>
      </w:r>
      <w:r w:rsidR="00306821">
        <w:rPr>
          <w:b/>
          <w:sz w:val="20"/>
          <w:szCs w:val="20"/>
          <w:u w:val="single"/>
          <w:lang w:val="es-MX"/>
        </w:rPr>
        <w:t>Venezuela</w:t>
      </w:r>
      <w:r w:rsidRPr="00296F77">
        <w:rPr>
          <w:b/>
          <w:sz w:val="20"/>
          <w:szCs w:val="20"/>
          <w:u w:val="single"/>
          <w:lang w:val="es-MX"/>
        </w:rPr>
        <w:t>: reparaciones pendientes de cumplimiento</w:t>
      </w:r>
    </w:p>
    <w:p w:rsidR="006E7F48" w:rsidRPr="00296F77" w:rsidRDefault="002F67F5"/>
    <w:p w:rsidR="00296F77" w:rsidRDefault="00296F77" w:rsidP="00296F77">
      <w:pPr>
        <w:tabs>
          <w:tab w:val="left" w:pos="709"/>
        </w:tabs>
        <w:ind w:right="99"/>
        <w:jc w:val="both"/>
      </w:pPr>
    </w:p>
    <w:p w:rsidR="00306821" w:rsidRPr="00306821" w:rsidRDefault="00D87A60" w:rsidP="00750BE1">
      <w:pPr>
        <w:pStyle w:val="Prrafodelista"/>
        <w:numPr>
          <w:ilvl w:val="3"/>
          <w:numId w:val="7"/>
        </w:numPr>
        <w:tabs>
          <w:tab w:val="left" w:pos="720"/>
        </w:tabs>
        <w:spacing w:after="240"/>
        <w:ind w:left="0" w:right="-90" w:firstLine="0"/>
        <w:contextualSpacing w:val="0"/>
        <w:jc w:val="both"/>
        <w:rPr>
          <w:rFonts w:eastAsia="Cambria" w:cs="Times New Roman"/>
          <w:bCs/>
          <w:sz w:val="20"/>
          <w:szCs w:val="20"/>
          <w:lang w:val="es-ES"/>
        </w:rPr>
      </w:pPr>
      <w:r>
        <w:rPr>
          <w:rFonts w:eastAsia="Cambria" w:cs="Times New Roman"/>
          <w:bCs/>
          <w:sz w:val="20"/>
          <w:szCs w:val="20"/>
        </w:rPr>
        <w:t>Continuar y concluir</w:t>
      </w:r>
      <w:r w:rsidRPr="00D87A60">
        <w:rPr>
          <w:rFonts w:eastAsia="Cambria" w:cs="Times New Roman"/>
          <w:bCs/>
          <w:sz w:val="20"/>
          <w:szCs w:val="20"/>
        </w:rPr>
        <w:t xml:space="preserve">, en un plazo razonable, las investigaciones y procesos penales correspondientes con el fin de juzgar y, en su caso, sancionar a las personas responsables de la muerte de </w:t>
      </w:r>
      <w:proofErr w:type="spellStart"/>
      <w:r w:rsidRPr="00D87A60">
        <w:rPr>
          <w:rFonts w:eastAsia="Cambria" w:cs="Times New Roman"/>
          <w:bCs/>
          <w:sz w:val="20"/>
          <w:szCs w:val="20"/>
        </w:rPr>
        <w:t>Olimpiades</w:t>
      </w:r>
      <w:proofErr w:type="spellEnd"/>
      <w:r w:rsidRPr="00D87A60">
        <w:rPr>
          <w:rFonts w:eastAsia="Cambria" w:cs="Times New Roman"/>
          <w:bCs/>
          <w:sz w:val="20"/>
          <w:szCs w:val="20"/>
        </w:rPr>
        <w:t xml:space="preserve"> González, en los términos del párrafo 199 de la presente Sente</w:t>
      </w:r>
      <w:r>
        <w:rPr>
          <w:rFonts w:eastAsia="Cambria" w:cs="Times New Roman"/>
          <w:bCs/>
          <w:sz w:val="20"/>
          <w:szCs w:val="20"/>
        </w:rPr>
        <w:t>ncia</w:t>
      </w:r>
      <w:r w:rsidR="00306821" w:rsidRPr="00306821">
        <w:rPr>
          <w:rFonts w:eastAsia="Cambria" w:cs="Times New Roman"/>
          <w:bCs/>
          <w:sz w:val="20"/>
          <w:szCs w:val="20"/>
        </w:rPr>
        <w:t>.</w:t>
      </w:r>
    </w:p>
    <w:p w:rsidR="00750BE1" w:rsidRPr="00750BE1" w:rsidRDefault="00D87A60" w:rsidP="00750BE1">
      <w:pPr>
        <w:pStyle w:val="Prrafodelista"/>
        <w:numPr>
          <w:ilvl w:val="3"/>
          <w:numId w:val="7"/>
        </w:numPr>
        <w:tabs>
          <w:tab w:val="left" w:pos="720"/>
        </w:tabs>
        <w:spacing w:after="240"/>
        <w:ind w:left="0" w:right="-90" w:firstLine="0"/>
        <w:contextualSpacing w:val="0"/>
        <w:jc w:val="both"/>
        <w:rPr>
          <w:rFonts w:eastAsia="Cambria" w:cs="Times New Roman"/>
          <w:bCs/>
          <w:sz w:val="20"/>
          <w:szCs w:val="20"/>
          <w:lang w:val="es-ES"/>
        </w:rPr>
      </w:pPr>
      <w:r>
        <w:rPr>
          <w:rFonts w:eastAsia="Cambria" w:cs="Times New Roman"/>
          <w:bCs/>
          <w:sz w:val="20"/>
          <w:szCs w:val="20"/>
          <w:lang w:val="es-ES"/>
        </w:rPr>
        <w:t>P</w:t>
      </w:r>
      <w:r>
        <w:rPr>
          <w:rFonts w:eastAsia="Cambria" w:cs="Times New Roman"/>
          <w:bCs/>
          <w:sz w:val="20"/>
          <w:szCs w:val="20"/>
        </w:rPr>
        <w:t>agar</w:t>
      </w:r>
      <w:r w:rsidRPr="00D87A60">
        <w:rPr>
          <w:rFonts w:eastAsia="Cambria" w:cs="Times New Roman"/>
          <w:bCs/>
          <w:sz w:val="20"/>
          <w:szCs w:val="20"/>
        </w:rPr>
        <w:t xml:space="preserve"> las sumas destinadas para brindar atención adecuada a los padecimientos físicos, psicológicos y/o psiquiátricos sufridos por María Angélica González, Belkis </w:t>
      </w:r>
      <w:proofErr w:type="spellStart"/>
      <w:r w:rsidRPr="00D87A60">
        <w:rPr>
          <w:rFonts w:eastAsia="Cambria" w:cs="Times New Roman"/>
          <w:bCs/>
          <w:sz w:val="20"/>
          <w:szCs w:val="20"/>
        </w:rPr>
        <w:t>Mirelis</w:t>
      </w:r>
      <w:proofErr w:type="spellEnd"/>
      <w:r w:rsidRPr="00D87A60">
        <w:rPr>
          <w:rFonts w:eastAsia="Cambria" w:cs="Times New Roman"/>
          <w:bCs/>
          <w:sz w:val="20"/>
          <w:szCs w:val="20"/>
        </w:rPr>
        <w:t xml:space="preserve"> González, Fernando González, Luis Guillermo González, Wilmer Antonio </w:t>
      </w:r>
      <w:proofErr w:type="spellStart"/>
      <w:r w:rsidRPr="00D87A60">
        <w:rPr>
          <w:rFonts w:eastAsia="Cambria" w:cs="Times New Roman"/>
          <w:bCs/>
          <w:sz w:val="20"/>
          <w:szCs w:val="20"/>
        </w:rPr>
        <w:t>Barliza</w:t>
      </w:r>
      <w:proofErr w:type="spellEnd"/>
      <w:r w:rsidRPr="00D87A60">
        <w:rPr>
          <w:rFonts w:eastAsia="Cambria" w:cs="Times New Roman"/>
          <w:bCs/>
          <w:sz w:val="20"/>
          <w:szCs w:val="20"/>
        </w:rPr>
        <w:t xml:space="preserve"> González, en los términos de los párrafos 201 y 217 de la presente Sentencia</w:t>
      </w:r>
      <w:r w:rsidR="00306821" w:rsidRPr="00306821">
        <w:rPr>
          <w:rFonts w:eastAsia="Cambria" w:cs="Times New Roman"/>
          <w:bCs/>
          <w:sz w:val="20"/>
          <w:szCs w:val="20"/>
        </w:rPr>
        <w:t>.</w:t>
      </w:r>
    </w:p>
    <w:p w:rsidR="00750BE1" w:rsidRPr="00306821" w:rsidRDefault="00D87A60" w:rsidP="00750BE1">
      <w:pPr>
        <w:pStyle w:val="Prrafodelista"/>
        <w:numPr>
          <w:ilvl w:val="3"/>
          <w:numId w:val="7"/>
        </w:numPr>
        <w:tabs>
          <w:tab w:val="left" w:pos="720"/>
        </w:tabs>
        <w:spacing w:after="240"/>
        <w:ind w:left="0" w:right="-90" w:firstLine="0"/>
        <w:contextualSpacing w:val="0"/>
        <w:jc w:val="both"/>
        <w:rPr>
          <w:rFonts w:eastAsia="Cambria" w:cs="Times New Roman"/>
          <w:bCs/>
          <w:sz w:val="20"/>
          <w:szCs w:val="20"/>
          <w:lang w:val="es-ES"/>
        </w:rPr>
      </w:pPr>
      <w:r>
        <w:rPr>
          <w:rFonts w:eastAsia="Cambria" w:cs="Times New Roman"/>
          <w:bCs/>
          <w:sz w:val="20"/>
          <w:szCs w:val="20"/>
          <w:lang w:val="es-ES"/>
        </w:rPr>
        <w:t>Re</w:t>
      </w:r>
      <w:r>
        <w:rPr>
          <w:rFonts w:eastAsia="Cambria" w:cs="Times New Roman"/>
          <w:bCs/>
          <w:sz w:val="20"/>
          <w:szCs w:val="20"/>
        </w:rPr>
        <w:t>alizar</w:t>
      </w:r>
      <w:r w:rsidRPr="00D87A60">
        <w:rPr>
          <w:rFonts w:eastAsia="Cambria" w:cs="Times New Roman"/>
          <w:bCs/>
          <w:sz w:val="20"/>
          <w:szCs w:val="20"/>
        </w:rPr>
        <w:t xml:space="preserve"> las publicaciones y difusiones radiales indicadas en los párrafos 203 y 204 de esta Sentencia, en el plazo de seis meses contado a partir de la notificación de la misma, en los términos dispuestos en dichos </w:t>
      </w:r>
      <w:proofErr w:type="gramStart"/>
      <w:r w:rsidRPr="00D87A60">
        <w:rPr>
          <w:rFonts w:eastAsia="Cambria" w:cs="Times New Roman"/>
          <w:bCs/>
          <w:sz w:val="20"/>
          <w:szCs w:val="20"/>
        </w:rPr>
        <w:t>párrafos.</w:t>
      </w:r>
      <w:r w:rsidR="00750BE1" w:rsidRPr="00750BE1">
        <w:rPr>
          <w:rFonts w:eastAsia="Cambria" w:cs="Times New Roman"/>
          <w:bCs/>
          <w:sz w:val="20"/>
          <w:szCs w:val="20"/>
        </w:rPr>
        <w:t>.</w:t>
      </w:r>
      <w:proofErr w:type="gramEnd"/>
    </w:p>
    <w:p w:rsidR="00306821" w:rsidRPr="00306821" w:rsidRDefault="00D87A60" w:rsidP="00750BE1">
      <w:pPr>
        <w:pStyle w:val="Prrafodelista"/>
        <w:numPr>
          <w:ilvl w:val="3"/>
          <w:numId w:val="7"/>
        </w:numPr>
        <w:tabs>
          <w:tab w:val="left" w:pos="720"/>
        </w:tabs>
        <w:spacing w:after="240"/>
        <w:ind w:left="0" w:right="-90" w:firstLine="0"/>
        <w:contextualSpacing w:val="0"/>
        <w:jc w:val="both"/>
        <w:rPr>
          <w:rFonts w:eastAsia="Cambria" w:cs="Times New Roman"/>
          <w:bCs/>
          <w:sz w:val="20"/>
          <w:szCs w:val="20"/>
          <w:lang w:val="es-ES"/>
        </w:rPr>
      </w:pPr>
      <w:r>
        <w:rPr>
          <w:rFonts w:eastAsia="Cambria" w:cs="Times New Roman"/>
          <w:bCs/>
          <w:sz w:val="20"/>
          <w:szCs w:val="20"/>
          <w:lang w:val="es-ES"/>
        </w:rPr>
        <w:t>P</w:t>
      </w:r>
      <w:r>
        <w:rPr>
          <w:rFonts w:eastAsia="Cambria" w:cs="Times New Roman"/>
          <w:bCs/>
          <w:sz w:val="20"/>
          <w:szCs w:val="20"/>
        </w:rPr>
        <w:t>agar</w:t>
      </w:r>
      <w:r w:rsidRPr="00D87A60">
        <w:rPr>
          <w:rFonts w:eastAsia="Cambria" w:cs="Times New Roman"/>
          <w:bCs/>
          <w:sz w:val="20"/>
          <w:szCs w:val="20"/>
        </w:rPr>
        <w:t xml:space="preserve"> las cantidades fijadas en el párrafo 215 de la presente Sentencia, por concepto de daño material e inmaterial, en los términos de los párrafos 216 y 220 a 225 de la presente Sentencia</w:t>
      </w:r>
      <w:r w:rsidR="00306821">
        <w:rPr>
          <w:rFonts w:eastAsia="Cambria" w:cs="Times New Roman"/>
          <w:bCs/>
          <w:sz w:val="20"/>
          <w:szCs w:val="20"/>
        </w:rPr>
        <w:t>.</w:t>
      </w:r>
    </w:p>
    <w:p w:rsidR="00750BE1" w:rsidRPr="00D87A60" w:rsidRDefault="00D87A60" w:rsidP="00750BE1">
      <w:pPr>
        <w:pStyle w:val="Prrafodelista"/>
        <w:numPr>
          <w:ilvl w:val="3"/>
          <w:numId w:val="7"/>
        </w:numPr>
        <w:tabs>
          <w:tab w:val="left" w:pos="720"/>
        </w:tabs>
        <w:spacing w:after="240"/>
        <w:ind w:left="0" w:right="-90" w:firstLine="0"/>
        <w:contextualSpacing w:val="0"/>
        <w:jc w:val="both"/>
        <w:rPr>
          <w:rFonts w:eastAsia="Cambria" w:cs="Times New Roman"/>
          <w:bCs/>
          <w:sz w:val="20"/>
          <w:szCs w:val="20"/>
          <w:lang w:val="es-ES"/>
        </w:rPr>
      </w:pPr>
      <w:r>
        <w:rPr>
          <w:rFonts w:eastAsia="Cambria" w:cs="Times New Roman"/>
          <w:bCs/>
          <w:sz w:val="20"/>
          <w:szCs w:val="20"/>
          <w:lang w:val="es-ES"/>
        </w:rPr>
        <w:t>R</w:t>
      </w:r>
      <w:proofErr w:type="spellStart"/>
      <w:r>
        <w:rPr>
          <w:rFonts w:eastAsia="Cambria" w:cs="Times New Roman"/>
          <w:bCs/>
          <w:sz w:val="20"/>
          <w:szCs w:val="20"/>
        </w:rPr>
        <w:t>eintegrar</w:t>
      </w:r>
      <w:proofErr w:type="spellEnd"/>
      <w:r w:rsidRPr="00D87A60">
        <w:rPr>
          <w:rFonts w:eastAsia="Cambria" w:cs="Times New Roman"/>
          <w:bCs/>
          <w:sz w:val="20"/>
          <w:szCs w:val="20"/>
        </w:rPr>
        <w:t xml:space="preserve"> al Fondo de Asistencia Legal de Víctimas de la Corte Interamericana de Derechos Humanos la cantidad erogada durante la tramitación del presente caso, en los términos de los párrafos 219 y 225 de la presente Sentencia</w:t>
      </w:r>
      <w:r w:rsidR="00306821" w:rsidRPr="00306821">
        <w:rPr>
          <w:rFonts w:eastAsia="Cambria" w:cs="Times New Roman"/>
          <w:bCs/>
          <w:sz w:val="20"/>
          <w:szCs w:val="20"/>
        </w:rPr>
        <w:t>.</w:t>
      </w:r>
      <w:bookmarkStart w:id="0" w:name="_GoBack"/>
      <w:bookmarkEnd w:id="0"/>
    </w:p>
    <w:p w:rsidR="002E376C" w:rsidRPr="002E376C" w:rsidRDefault="002E376C" w:rsidP="002E376C">
      <w:pPr>
        <w:pStyle w:val="Prrafodelista"/>
        <w:tabs>
          <w:tab w:val="left" w:pos="720"/>
        </w:tabs>
        <w:ind w:left="0" w:right="-90"/>
        <w:contextualSpacing w:val="0"/>
        <w:rPr>
          <w:rFonts w:eastAsia="Cambria" w:cs="Times New Roman"/>
          <w:bCs/>
          <w:sz w:val="20"/>
          <w:szCs w:val="20"/>
          <w:lang w:val="es-ES"/>
        </w:rPr>
      </w:pPr>
    </w:p>
    <w:p w:rsidR="00D3440D" w:rsidRPr="00CF7246" w:rsidRDefault="00D3440D" w:rsidP="00CB5BB1">
      <w:pPr>
        <w:pStyle w:val="Prrafodelista"/>
        <w:tabs>
          <w:tab w:val="left" w:pos="720"/>
        </w:tabs>
        <w:ind w:left="0" w:right="-90"/>
        <w:contextualSpacing w:val="0"/>
        <w:jc w:val="both"/>
        <w:rPr>
          <w:rFonts w:eastAsia="Cambria" w:cs="Times New Roman"/>
          <w:bCs/>
          <w:sz w:val="20"/>
          <w:szCs w:val="20"/>
          <w:lang w:val="es-ES"/>
        </w:rPr>
      </w:pPr>
    </w:p>
    <w:sectPr w:rsidR="00D3440D" w:rsidRPr="00CF7246">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67F5" w:rsidRDefault="002F67F5" w:rsidP="009F7EF4">
      <w:r>
        <w:separator/>
      </w:r>
    </w:p>
  </w:endnote>
  <w:endnote w:type="continuationSeparator" w:id="0">
    <w:p w:rsidR="002F67F5" w:rsidRDefault="002F67F5" w:rsidP="009F7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Batang">
    <w:altName w:val="Malgun Gothic Semilight"/>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7EF4" w:rsidRDefault="009F7EF4" w:rsidP="009F7EF4">
    <w:pPr>
      <w:pStyle w:val="Piedepgina"/>
      <w:jc w:val="both"/>
    </w:pPr>
    <w:r>
      <w:rPr>
        <w:bCs/>
        <w:szCs w:val="16"/>
        <w:lang w:val="es-MX"/>
      </w:rPr>
      <w:t xml:space="preserve">La presente sistematización de información fue </w:t>
    </w:r>
    <w:r w:rsidR="00AE0035">
      <w:rPr>
        <w:bCs/>
        <w:szCs w:val="16"/>
        <w:lang w:val="es-MX"/>
      </w:rPr>
      <w:t>realizada</w:t>
    </w:r>
    <w:r>
      <w:rPr>
        <w:bCs/>
        <w:szCs w:val="16"/>
        <w:lang w:val="es-MX"/>
      </w:rPr>
      <w:t xml:space="preserve"> por la Secretaría de la Corte Interamericana de Derechos Humanos, por lo que es responsabilidad exclusiva de la misma. La información se basa en lo declarado en resoluciones emitidas por esta Corte. Por tanto, en los expedientes puede haber información aportada por las partes que aún no haya sido evaluada por el Tribunal.</w:t>
    </w:r>
  </w:p>
  <w:p w:rsidR="009F7EF4" w:rsidRDefault="009F7EF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67F5" w:rsidRDefault="002F67F5" w:rsidP="009F7EF4">
      <w:r>
        <w:separator/>
      </w:r>
    </w:p>
  </w:footnote>
  <w:footnote w:type="continuationSeparator" w:id="0">
    <w:p w:rsidR="002F67F5" w:rsidRDefault="002F67F5" w:rsidP="009F7E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0897709"/>
      <w:docPartObj>
        <w:docPartGallery w:val="Page Numbers (Top of Page)"/>
        <w:docPartUnique/>
      </w:docPartObj>
    </w:sdtPr>
    <w:sdtEndPr>
      <w:rPr>
        <w:noProof/>
        <w:sz w:val="20"/>
        <w:szCs w:val="20"/>
      </w:rPr>
    </w:sdtEndPr>
    <w:sdtContent>
      <w:p w:rsidR="001426AA" w:rsidRPr="00675FE7" w:rsidRDefault="001426AA" w:rsidP="001426AA">
        <w:pPr>
          <w:pStyle w:val="Encabezado"/>
          <w:jc w:val="right"/>
          <w:rPr>
            <w:sz w:val="20"/>
            <w:szCs w:val="20"/>
          </w:rPr>
        </w:pPr>
        <w:r w:rsidRPr="00675FE7">
          <w:rPr>
            <w:sz w:val="20"/>
            <w:szCs w:val="20"/>
          </w:rPr>
          <w:fldChar w:fldCharType="begin"/>
        </w:r>
        <w:r w:rsidRPr="00675FE7">
          <w:rPr>
            <w:sz w:val="20"/>
            <w:szCs w:val="20"/>
          </w:rPr>
          <w:instrText xml:space="preserve"> PAGE   \* MERGEFORMAT </w:instrText>
        </w:r>
        <w:r w:rsidRPr="00675FE7">
          <w:rPr>
            <w:sz w:val="20"/>
            <w:szCs w:val="20"/>
          </w:rPr>
          <w:fldChar w:fldCharType="separate"/>
        </w:r>
        <w:r w:rsidR="00D87A60">
          <w:rPr>
            <w:noProof/>
            <w:sz w:val="20"/>
            <w:szCs w:val="20"/>
          </w:rPr>
          <w:t>1</w:t>
        </w:r>
        <w:r w:rsidRPr="00675FE7">
          <w:rPr>
            <w:noProof/>
            <w:sz w:val="20"/>
            <w:szCs w:val="20"/>
          </w:rPr>
          <w:fldChar w:fldCharType="end"/>
        </w:r>
      </w:p>
    </w:sdtContent>
  </w:sdt>
  <w:p w:rsidR="001426AA" w:rsidRDefault="001426A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E221D"/>
    <w:multiLevelType w:val="hybridMultilevel"/>
    <w:tmpl w:val="E5243634"/>
    <w:lvl w:ilvl="0" w:tplc="CDCEF9D6">
      <w:start w:val="89"/>
      <w:numFmt w:val="decimal"/>
      <w:lvlText w:val="%1."/>
      <w:lvlJc w:val="left"/>
      <w:pPr>
        <w:ind w:left="360" w:hanging="360"/>
      </w:pPr>
      <w:rPr>
        <w:rFonts w:ascii="Verdana" w:hAnsi="Verdana" w:hint="default"/>
        <w:b w:val="0"/>
        <w:i w:val="0"/>
        <w:color w:val="auto"/>
        <w:sz w:val="20"/>
        <w:szCs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2AEC4F1B"/>
    <w:multiLevelType w:val="hybridMultilevel"/>
    <w:tmpl w:val="EDE2B76C"/>
    <w:lvl w:ilvl="0" w:tplc="431A9310">
      <w:start w:val="116"/>
      <w:numFmt w:val="decimal"/>
      <w:lvlText w:val="%1."/>
      <w:lvlJc w:val="left"/>
      <w:pPr>
        <w:ind w:left="720" w:hanging="360"/>
      </w:pPr>
      <w:rPr>
        <w:rFonts w:ascii="Verdana" w:hAnsi="Verdana" w:hint="default"/>
        <w:b w:val="0"/>
        <w:i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734F52"/>
    <w:multiLevelType w:val="hybridMultilevel"/>
    <w:tmpl w:val="ABD8259C"/>
    <w:lvl w:ilvl="0" w:tplc="23F6FA6A">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19B489A"/>
    <w:multiLevelType w:val="hybridMultilevel"/>
    <w:tmpl w:val="07C678D4"/>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76753A80"/>
    <w:multiLevelType w:val="hybridMultilevel"/>
    <w:tmpl w:val="D6306E5C"/>
    <w:lvl w:ilvl="0" w:tplc="16D40AFE">
      <w:start w:val="1"/>
      <w:numFmt w:val="decimal"/>
      <w:lvlText w:val="%1."/>
      <w:lvlJc w:val="left"/>
      <w:pPr>
        <w:ind w:left="0" w:firstLine="0"/>
      </w:pPr>
      <w:rPr>
        <w:rFonts w:ascii="Verdana" w:hAnsi="Verdana" w:hint="default"/>
        <w:b w:val="0"/>
        <w:i w:val="0"/>
        <w:strike w:val="0"/>
        <w:dstrike w:val="0"/>
        <w:color w:val="auto"/>
        <w:sz w:val="20"/>
        <w:szCs w:val="20"/>
        <w:u w:val="none"/>
        <w:effect w:val="none"/>
        <w:lang w:val="es-ES_tradnl"/>
      </w:rPr>
    </w:lvl>
    <w:lvl w:ilvl="1" w:tplc="7B389880">
      <w:start w:val="1"/>
      <w:numFmt w:val="lowerLetter"/>
      <w:lvlText w:val="%2."/>
      <w:lvlJc w:val="left"/>
      <w:pPr>
        <w:ind w:left="1298" w:hanging="360"/>
      </w:pPr>
      <w:rPr>
        <w:rFonts w:ascii="Verdana" w:eastAsia="Batang" w:hAnsi="Verdana" w:cs="Times"/>
        <w:i/>
        <w:lang w:val="es-ES_tradnl"/>
      </w:rPr>
    </w:lvl>
    <w:lvl w:ilvl="2" w:tplc="4202A1AC">
      <w:start w:val="1"/>
      <w:numFmt w:val="lowerRoman"/>
      <w:lvlText w:val="%3."/>
      <w:lvlJc w:val="right"/>
      <w:pPr>
        <w:ind w:left="2018" w:hanging="180"/>
      </w:pPr>
      <w:rPr>
        <w:i/>
      </w:rPr>
    </w:lvl>
    <w:lvl w:ilvl="3" w:tplc="591C000E">
      <w:start w:val="1"/>
      <w:numFmt w:val="decimal"/>
      <w:lvlText w:val="%4."/>
      <w:lvlJc w:val="left"/>
      <w:pPr>
        <w:ind w:left="2738" w:hanging="360"/>
      </w:pPr>
      <w:rPr>
        <w:rFonts w:ascii="Verdana" w:hAnsi="Verdana" w:hint="default"/>
        <w:sz w:val="20"/>
        <w:szCs w:val="20"/>
      </w:rPr>
    </w:lvl>
    <w:lvl w:ilvl="4" w:tplc="E7BA4BB6">
      <w:start w:val="1"/>
      <w:numFmt w:val="lowerLetter"/>
      <w:lvlText w:val="%5."/>
      <w:lvlJc w:val="left"/>
      <w:pPr>
        <w:ind w:left="3458" w:hanging="360"/>
      </w:pPr>
    </w:lvl>
    <w:lvl w:ilvl="5" w:tplc="2C0A001B">
      <w:start w:val="1"/>
      <w:numFmt w:val="lowerRoman"/>
      <w:lvlText w:val="%6."/>
      <w:lvlJc w:val="right"/>
      <w:pPr>
        <w:ind w:left="4178" w:hanging="180"/>
      </w:pPr>
    </w:lvl>
    <w:lvl w:ilvl="6" w:tplc="2C0A000F">
      <w:start w:val="1"/>
      <w:numFmt w:val="decimal"/>
      <w:lvlText w:val="%7."/>
      <w:lvlJc w:val="left"/>
      <w:pPr>
        <w:ind w:left="4898" w:hanging="360"/>
      </w:pPr>
    </w:lvl>
    <w:lvl w:ilvl="7" w:tplc="2C0A0019">
      <w:start w:val="1"/>
      <w:numFmt w:val="lowerLetter"/>
      <w:lvlText w:val="%8."/>
      <w:lvlJc w:val="left"/>
      <w:pPr>
        <w:ind w:left="5618" w:hanging="360"/>
      </w:pPr>
    </w:lvl>
    <w:lvl w:ilvl="8" w:tplc="2C0A001B">
      <w:start w:val="1"/>
      <w:numFmt w:val="lowerRoman"/>
      <w:lvlText w:val="%9."/>
      <w:lvlJc w:val="right"/>
      <w:pPr>
        <w:ind w:left="6338" w:hanging="180"/>
      </w:pPr>
    </w:lvl>
  </w:abstractNum>
  <w:abstractNum w:abstractNumId="5" w15:restartNumberingAfterBreak="0">
    <w:nsid w:val="7983635B"/>
    <w:multiLevelType w:val="hybridMultilevel"/>
    <w:tmpl w:val="1CF8DA9A"/>
    <w:lvl w:ilvl="0" w:tplc="AC1C5414">
      <w:start w:val="1"/>
      <w:numFmt w:val="decimal"/>
      <w:lvlText w:val="%1."/>
      <w:lvlJc w:val="left"/>
      <w:pPr>
        <w:ind w:left="2912" w:hanging="360"/>
      </w:pPr>
      <w:rPr>
        <w:rFonts w:ascii="Verdana" w:hAnsi="Verdana" w:hint="default"/>
        <w:b w:val="0"/>
        <w:i w:val="0"/>
        <w:color w:val="auto"/>
        <w:sz w:val="20"/>
        <w:szCs w:val="20"/>
      </w:rPr>
    </w:lvl>
    <w:lvl w:ilvl="1" w:tplc="140A0019" w:tentative="1">
      <w:start w:val="1"/>
      <w:numFmt w:val="lowerLetter"/>
      <w:lvlText w:val="%2."/>
      <w:lvlJc w:val="left"/>
      <w:pPr>
        <w:ind w:left="-7916" w:hanging="360"/>
      </w:pPr>
    </w:lvl>
    <w:lvl w:ilvl="2" w:tplc="140A001B" w:tentative="1">
      <w:start w:val="1"/>
      <w:numFmt w:val="lowerRoman"/>
      <w:lvlText w:val="%3."/>
      <w:lvlJc w:val="right"/>
      <w:pPr>
        <w:ind w:left="-7196" w:hanging="180"/>
      </w:pPr>
    </w:lvl>
    <w:lvl w:ilvl="3" w:tplc="140A000F" w:tentative="1">
      <w:start w:val="1"/>
      <w:numFmt w:val="decimal"/>
      <w:lvlText w:val="%4."/>
      <w:lvlJc w:val="left"/>
      <w:pPr>
        <w:ind w:left="-6476" w:hanging="360"/>
      </w:pPr>
    </w:lvl>
    <w:lvl w:ilvl="4" w:tplc="140A0019" w:tentative="1">
      <w:start w:val="1"/>
      <w:numFmt w:val="lowerLetter"/>
      <w:lvlText w:val="%5."/>
      <w:lvlJc w:val="left"/>
      <w:pPr>
        <w:ind w:left="-5756" w:hanging="360"/>
      </w:pPr>
    </w:lvl>
    <w:lvl w:ilvl="5" w:tplc="140A001B" w:tentative="1">
      <w:start w:val="1"/>
      <w:numFmt w:val="lowerRoman"/>
      <w:lvlText w:val="%6."/>
      <w:lvlJc w:val="right"/>
      <w:pPr>
        <w:ind w:left="-5036" w:hanging="180"/>
      </w:pPr>
    </w:lvl>
    <w:lvl w:ilvl="6" w:tplc="140A000F" w:tentative="1">
      <w:start w:val="1"/>
      <w:numFmt w:val="decimal"/>
      <w:lvlText w:val="%7."/>
      <w:lvlJc w:val="left"/>
      <w:pPr>
        <w:ind w:left="-4316" w:hanging="360"/>
      </w:pPr>
    </w:lvl>
    <w:lvl w:ilvl="7" w:tplc="140A0019" w:tentative="1">
      <w:start w:val="1"/>
      <w:numFmt w:val="lowerLetter"/>
      <w:lvlText w:val="%8."/>
      <w:lvlJc w:val="left"/>
      <w:pPr>
        <w:ind w:left="-3596" w:hanging="360"/>
      </w:pPr>
    </w:lvl>
    <w:lvl w:ilvl="8" w:tplc="140A001B" w:tentative="1">
      <w:start w:val="1"/>
      <w:numFmt w:val="lowerRoman"/>
      <w:lvlText w:val="%9."/>
      <w:lvlJc w:val="right"/>
      <w:pPr>
        <w:ind w:left="-2876" w:hanging="180"/>
      </w:pPr>
    </w:lvl>
  </w:abstractNum>
  <w:abstractNum w:abstractNumId="6" w15:restartNumberingAfterBreak="0">
    <w:nsid w:val="7EA012FB"/>
    <w:multiLevelType w:val="hybridMultilevel"/>
    <w:tmpl w:val="CC1E4C64"/>
    <w:lvl w:ilvl="0" w:tplc="FC260292">
      <w:start w:val="7"/>
      <w:numFmt w:val="decimal"/>
      <w:lvlText w:val="%1."/>
      <w:lvlJc w:val="left"/>
      <w:pPr>
        <w:ind w:left="72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5"/>
  </w:num>
  <w:num w:numId="4">
    <w:abstractNumId w:val="0"/>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EF4"/>
    <w:rsid w:val="00010C8B"/>
    <w:rsid w:val="000930F6"/>
    <w:rsid w:val="00101CC6"/>
    <w:rsid w:val="001426AA"/>
    <w:rsid w:val="00296F77"/>
    <w:rsid w:val="002B3295"/>
    <w:rsid w:val="002E376C"/>
    <w:rsid w:val="002F67F5"/>
    <w:rsid w:val="00306821"/>
    <w:rsid w:val="003A5A68"/>
    <w:rsid w:val="003A7E5E"/>
    <w:rsid w:val="003C561A"/>
    <w:rsid w:val="004458A1"/>
    <w:rsid w:val="00474D04"/>
    <w:rsid w:val="00476F6E"/>
    <w:rsid w:val="005A203D"/>
    <w:rsid w:val="005D1A85"/>
    <w:rsid w:val="00617B3E"/>
    <w:rsid w:val="006A777A"/>
    <w:rsid w:val="006C38A6"/>
    <w:rsid w:val="00750BE1"/>
    <w:rsid w:val="00792165"/>
    <w:rsid w:val="00834F1A"/>
    <w:rsid w:val="008C0B61"/>
    <w:rsid w:val="008C1FD0"/>
    <w:rsid w:val="008C63A9"/>
    <w:rsid w:val="00926FFB"/>
    <w:rsid w:val="009832C0"/>
    <w:rsid w:val="009D22BE"/>
    <w:rsid w:val="009F7EF4"/>
    <w:rsid w:val="00AB2467"/>
    <w:rsid w:val="00AE0035"/>
    <w:rsid w:val="00B11B9B"/>
    <w:rsid w:val="00B32A37"/>
    <w:rsid w:val="00B33305"/>
    <w:rsid w:val="00B37AB9"/>
    <w:rsid w:val="00B6418D"/>
    <w:rsid w:val="00BA6BA9"/>
    <w:rsid w:val="00BC5824"/>
    <w:rsid w:val="00C4747D"/>
    <w:rsid w:val="00C807CF"/>
    <w:rsid w:val="00CB5BB1"/>
    <w:rsid w:val="00CF7246"/>
    <w:rsid w:val="00D3440D"/>
    <w:rsid w:val="00D87A60"/>
    <w:rsid w:val="00E210BA"/>
    <w:rsid w:val="00E217FA"/>
    <w:rsid w:val="00E42392"/>
    <w:rsid w:val="00E85D9E"/>
    <w:rsid w:val="00F135BC"/>
    <w:rsid w:val="00F500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074A9"/>
  <w15:docId w15:val="{046AEE5E-9069-49D0-9293-B7DF89D8B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7EF4"/>
    <w:pPr>
      <w:spacing w:after="0" w:line="240" w:lineRule="auto"/>
    </w:pPr>
    <w:rPr>
      <w:rFonts w:ascii="Verdana" w:eastAsia="Batang" w:hAnsi="Verdana" w:cs="Times"/>
      <w:sz w:val="16"/>
      <w:szCs w:val="24"/>
      <w:lang w:val="es-ES_tradnl"/>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F7EF4"/>
    <w:pPr>
      <w:tabs>
        <w:tab w:val="center" w:pos="4680"/>
        <w:tab w:val="right" w:pos="9360"/>
      </w:tabs>
    </w:pPr>
  </w:style>
  <w:style w:type="character" w:customStyle="1" w:styleId="EncabezadoCar">
    <w:name w:val="Encabezado Car"/>
    <w:basedOn w:val="Fuentedeprrafopredeter"/>
    <w:link w:val="Encabezado"/>
    <w:uiPriority w:val="99"/>
    <w:rsid w:val="009F7EF4"/>
    <w:rPr>
      <w:rFonts w:ascii="Verdana" w:eastAsia="Batang" w:hAnsi="Verdana" w:cs="Times"/>
      <w:sz w:val="16"/>
      <w:szCs w:val="24"/>
      <w:lang w:val="es-ES_tradnl"/>
    </w:rPr>
  </w:style>
  <w:style w:type="paragraph" w:styleId="Piedepgina">
    <w:name w:val="footer"/>
    <w:basedOn w:val="Normal"/>
    <w:link w:val="PiedepginaCar"/>
    <w:uiPriority w:val="99"/>
    <w:unhideWhenUsed/>
    <w:rsid w:val="009F7EF4"/>
    <w:pPr>
      <w:tabs>
        <w:tab w:val="center" w:pos="4680"/>
        <w:tab w:val="right" w:pos="9360"/>
      </w:tabs>
    </w:pPr>
  </w:style>
  <w:style w:type="character" w:customStyle="1" w:styleId="PiedepginaCar">
    <w:name w:val="Pie de página Car"/>
    <w:basedOn w:val="Fuentedeprrafopredeter"/>
    <w:link w:val="Piedepgina"/>
    <w:uiPriority w:val="99"/>
    <w:rsid w:val="009F7EF4"/>
    <w:rPr>
      <w:rFonts w:ascii="Verdana" w:eastAsia="Batang" w:hAnsi="Verdana" w:cs="Times"/>
      <w:sz w:val="16"/>
      <w:szCs w:val="24"/>
      <w:lang w:val="es-ES_tradnl"/>
    </w:rPr>
  </w:style>
  <w:style w:type="character" w:customStyle="1" w:styleId="apple-style-span">
    <w:name w:val="apple-style-span"/>
    <w:basedOn w:val="Fuentedeprrafopredeter"/>
    <w:rsid w:val="009F7EF4"/>
  </w:style>
  <w:style w:type="paragraph" w:styleId="Prrafodelista">
    <w:name w:val="List Paragraph"/>
    <w:aliases w:val="Footnote,List Paragraph1,Colorful List - Accent 11,Párrafo de lista1,List Paragraph2,Lista vistosa - Énfasis 11"/>
    <w:basedOn w:val="Normal"/>
    <w:link w:val="PrrafodelistaCar"/>
    <w:uiPriority w:val="99"/>
    <w:qFormat/>
    <w:rsid w:val="00296F77"/>
    <w:pPr>
      <w:ind w:left="720"/>
      <w:contextualSpacing/>
    </w:pPr>
  </w:style>
  <w:style w:type="character" w:customStyle="1" w:styleId="PrrafodelistaCar">
    <w:name w:val="Párrafo de lista Car"/>
    <w:aliases w:val="Footnote Car,List Paragraph1 Car,Colorful List - Accent 11 Car,Párrafo de lista1 Car,List Paragraph2 Car,Lista vistosa - Énfasis 11 Car"/>
    <w:link w:val="Prrafodelista"/>
    <w:uiPriority w:val="99"/>
    <w:rsid w:val="00BC5824"/>
    <w:rPr>
      <w:rFonts w:ascii="Verdana" w:eastAsia="Batang" w:hAnsi="Verdana" w:cs="Times"/>
      <w:sz w:val="16"/>
      <w:szCs w:val="24"/>
      <w:lang w:val="es-ES_tradnl"/>
    </w:rPr>
  </w:style>
  <w:style w:type="paragraph" w:styleId="Textonotapie">
    <w:name w:val="footnote text"/>
    <w:aliases w:val="Footnote Text Char Char Char Char Char,Footnote Text Char Char Char Char,Footnote reference,FA Fu,Footnote Text Char Char Char,Footnote Text Cha,FA Fußnotentext,FA Fuﬂnotentext,Footnote Text Char Char,FA Fu?notentext,Ca,FA Fu?notente,C,ft"/>
    <w:basedOn w:val="Normal"/>
    <w:link w:val="TextonotapieCar"/>
    <w:qFormat/>
    <w:rsid w:val="00926FFB"/>
    <w:pPr>
      <w:jc w:val="both"/>
    </w:pPr>
    <w:rPr>
      <w:rFonts w:eastAsia="Times" w:cs="Times New Roman"/>
      <w:szCs w:val="20"/>
      <w:lang w:val="en-US" w:eastAsia="x-none"/>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ﬂnotentext Car,FA Fu?notentext Car,C Car"/>
    <w:basedOn w:val="Fuentedeprrafopredeter"/>
    <w:link w:val="Textonotapie"/>
    <w:rsid w:val="00926FFB"/>
    <w:rPr>
      <w:rFonts w:ascii="Verdana" w:eastAsia="Times" w:hAnsi="Verdana" w:cs="Times New Roman"/>
      <w:sz w:val="16"/>
      <w:szCs w:val="20"/>
      <w:lang w:eastAsia="x-none"/>
    </w:rPr>
  </w:style>
  <w:style w:type="character" w:styleId="Refdenotaalpie">
    <w:name w:val="footnote reference"/>
    <w:aliases w:val="Texto de nota al pie,Footnotes refss,Appel note de bas de page,Footnote number,referencia nota al pie,BVI fnr,f,4_G,16 Point,Superscript 6 Point,Texto nota al pie,Footnote Reference Char3,Footnote Reference Char1 Char,Ref. de nota al"/>
    <w:qFormat/>
    <w:rsid w:val="00926FF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215</Words>
  <Characters>1109</Characters>
  <Application>Microsoft Office Word</Application>
  <DocSecurity>0</DocSecurity>
  <Lines>18</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dc:creator>
  <cp:lastModifiedBy>Adolfo Lara</cp:lastModifiedBy>
  <cp:revision>2</cp:revision>
  <cp:lastPrinted>2018-07-09T19:23:00Z</cp:lastPrinted>
  <dcterms:created xsi:type="dcterms:W3CDTF">2022-01-12T17:24:00Z</dcterms:created>
  <dcterms:modified xsi:type="dcterms:W3CDTF">2022-01-12T17:24:00Z</dcterms:modified>
</cp:coreProperties>
</file>